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50.png" ContentType="image/png"/>
  <Override PartName="/word/media/rId53.png" ContentType="image/png"/>
  <Override PartName="/word/media/rId51.png" ContentType="image/png"/>
  <Override PartName="/word/media/rId56.png" ContentType="image/png"/>
  <Override PartName="/word/media/rId55.png" ContentType="image/png"/>
  <Override PartName="/word/media/rId54.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Fri Jul 20 17:31:44 2018 -0700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that are typical at a site for the observed level of landscape alteration. A site’s score can be evaluated relative to its expected range using context from the landscape model. This context can support prioritization decisions for stream management, like identifying reaches for restoration or enhanced protection. Median scores for a macroinvertebrate-based index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Low scores were common in the watershed, particularly in the urbanized lower portions. However, most of these sites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We observed model predictions that were consistent with the clear land use gradient from the upper to lower watershed, where potential limits to achieving biological integrity were more common in the heavily urbanized lower watershed. Interaction with the local stakeholder group was critical in connecting the landscape model with observed data to set management goals appropriate for the region. The availability of geospatial and bioassessment data at the national level suggests that these tools can easily be applied to inform management decisions at other locations where biological indices are used to assess environmental condition.</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in many cases the reference benchmark may not completely describe or account for additional stressors that influence biological integrity at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A bioassessment index may be difficult to incorporate into management if thresholds for biological objectives are difficult to achieve within site-specific settings.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identifying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preventative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Channel modification has been used as a basis for redefining water quality criteria or for re-evaluating use attainability goals. For example, the Los Angeles River (California, USA) is heavily modified as a concrete-lined channel, and water quality standards that apply nationally for recreational uses are suspended under high-flow conditions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Mechanistic linkages between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but the precise link between land use and instream condition is not clear for other causal pathways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Methods for factor-ceiling analysis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Once the predicted response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of a landscape model to classify and prioritize stream monitoring sites and demonstrate its application to estimate the potential of achieving biological integrity in California streams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the late-1990s occurred before requirements in stormwater controls were implemented by the water quality control boards.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Similarly, potential differences in the magnitude of effects for the chosen variables were also not explicitly evaluated.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is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BodyText"/>
      </w:pPr>
      <w:r>
        <w:t xml:space="preserve">Finally, we evaluated associations of additional variables in StreamCat with different constraint classes by major regions in the state to identify natural and anthropogenic factors associated with constrained streams. (Figure</w:t>
      </w:r>
      <w:r>
        <w:t xml:space="preserve"> </w:t>
      </w:r>
      <w:r>
        <w:t xml:space="preserve">1</w:t>
      </w:r>
      <w:r>
        <w:t xml:space="preserve">). Only a select subset of variables in StreamCat were used to develop the landscape model, with the purpose of describing long-term and broad-scale impacts on biointegrity from landscape alteration. The current, full suite of landscape and geological variables in StreamCat at the riparian and watershed scale were used to model variation among segment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model created an estimate of importance of each variable for describing differences between constrained and unconstrained stream classes. Mean reduction in accuracy was estimated for all variables in each model to identify the top five important variables in each region. For this analysis, the possibly and likely constrained classes were evaluated together, as were the possibly and likely unconstrained classes.</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CSCI scores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a).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Crucually,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7</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most narrow range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associated-drivers-of-biological-constraints-and-sensitivity-analysis"/>
      <w:r>
        <w:t xml:space="preserve">Associated drivers of biological constraints and sensitivity analysis</w:t>
      </w:r>
      <w:bookmarkEnd w:id="41"/>
    </w:p>
    <w:p>
      <w:pPr>
        <w:pStyle w:val="FirstParagraph"/>
      </w:pPr>
      <w:r>
        <w:t xml:space="preserve">Importance measures from random forest models identified key variables that were associated with differences between constrained and unconstrained segments between each region (Figure S4, see Figure S5 for importance measures of the selected variables in Table</w:t>
      </w:r>
      <w:r>
        <w:t xml:space="preserve"> </w:t>
      </w:r>
      <w:r>
        <w:t xml:space="preserve">1</w:t>
      </w:r>
      <w:r>
        <w:t xml:space="preserve"> </w:t>
      </w:r>
      <w:r>
        <w:t xml:space="preserve">that were used to develop the statewide landscape model). Relative magnitudes of the importance measures between regions confirmed the estimates of model performance, such that regions where the model performed well (e.g., South Coast, Central Valley) had higher importance measures overall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Chaparral region, second most important for the North Coast, and third most important for the Sierra Nevada region. This variable was not in the top five for the South Coast region, which was exclusively described by imperviousness and urbanization. Soil erodibility was the most important variable in the Sierra Nevada region. Other important variables that were shared between regions (excluding the South Coast) were fertilizer applications and the amount of crops and hay at the riparian and watershed scale.</w:t>
      </w:r>
    </w:p>
    <w:p>
      <w:pPr>
        <w:pStyle w:val="Heading2"/>
      </w:pPr>
      <w:bookmarkStart w:id="42" w:name="san-gabriel-river-case-study"/>
      <w:r>
        <w:t xml:space="preserve">San Gabriel River Case study</w:t>
      </w:r>
      <w:bookmarkEnd w:id="42"/>
    </w:p>
    <w:p>
      <w:pPr>
        <w:pStyle w:val="FirstParagraph"/>
      </w:pPr>
      <w:r>
        <w:t xml:space="preserve">Engagement of stakeholders from the SGR Regional Monitoring Program demonstrated how management actions can be prioritized through application of the landscape model. About 750 segments in the SGR watershed were identified and classified from NHD-plus, of which 10% were visited over a ten-year period for bioassessment sampling. CSCI scores ranged from 0.2 to 1.23 consistent with heavy urban development in the lower watershed and open land use at higher elevation in the upper watershed (Figure</w:t>
      </w:r>
      <w:r>
        <w:t xml:space="preserve"> </w:t>
      </w:r>
      <w:r>
        <w:t xml:space="preserve">3</w:t>
      </w:r>
      <w:r>
        <w:t xml:space="preserve">a). Application of the landscape model results to the CSCI scores provided a context of expectations consistent with the strong land use gradient in the watershed (Figure</w:t>
      </w:r>
      <w:r>
        <w:t xml:space="preserve"> </w:t>
      </w:r>
      <w:r>
        <w:t xml:space="preserve">5</w:t>
      </w:r>
      <w:r>
        <w:t xml:space="preserve">). Stream segments in the upper watershed were a mix of likely and possibly unconstrained (40% and 28%), whereas stream segments in the lower watershed were classified as likely and possibly constrained (25% and 7%). Several segments in the lower watershed had ranges that were right-skewed toward very low CSCI scores consistent with extreme landscape pressures (bottom left, Figure</w:t>
      </w:r>
      <w:r>
        <w:t xml:space="preserve"> </w:t>
      </w:r>
      <w:r>
        <w:t xml:space="preserve">5</w:t>
      </w:r>
      <w:r>
        <w:t xml:space="preserve">b).</w:t>
      </w:r>
    </w:p>
    <w:p>
      <w:pPr>
        <w:pStyle w:val="BodyText"/>
      </w:pPr>
      <w:r>
        <w:t xml:space="preserve">Using a CSCI threshold based on the 10th percentile of reference calibration sites (i.e., 0.79,</w:t>
      </w:r>
      <w:r>
        <w:t xml:space="preserve"> </w:t>
      </w:r>
      <w:r>
        <w:t xml:space="preserve">Mazor et al. (</w:t>
      </w:r>
      <w:hyperlink w:anchor="ref-Mazor16">
        <w:r>
          <w:rPr>
            <w:rStyle w:val="Hyperlink"/>
          </w:rPr>
          <w:t xml:space="preserve">2016</w:t>
        </w:r>
      </w:hyperlink>
      <w:r>
        <w:t xml:space="preserve">)</w:t>
      </w:r>
      <w:r>
        <w:t xml:space="preserve">) and a relatively wide range of expected scores from the 10th to the 90th percentile of the model predictions, only six sites were under-scoring (two likely unconstrained and four likely constrained) and eight sites were over-scoring (five likely constrained, one possibly unconstrained, and two likely unconstrained) (Figure</w:t>
      </w:r>
      <w:r>
        <w:t xml:space="preserve"> </w:t>
      </w:r>
      <w:r>
        <w:t xml:space="preserve">6</w:t>
      </w:r>
      <w:r>
        <w:t xml:space="preserve">, top). One of the under-scoring sites in the likely unconstrained class was below the CSCI threshold (Figure</w:t>
      </w:r>
      <w:r>
        <w:t xml:space="preserve"> </w:t>
      </w:r>
      <w:r>
        <w:t xml:space="preserve">5</w:t>
      </w:r>
      <w:r>
        <w:t xml:space="preserve">). One site scoring as expected in the possibly unconstrained class was below the chosen CSCI threshold, whereas none of the constrained (possibly or likely) sites were above the threshold.</w:t>
      </w:r>
    </w:p>
    <w:p>
      <w:pPr>
        <w:pStyle w:val="BodyText"/>
      </w:pPr>
      <w:r>
        <w:t xml:space="preserve">In general, the stakeholder group assigned high priority recommendations to over- and under-scoring sites in likely unconstrained segments or those below the biological threshold with possibly unconstrained classification (Figure S1). Continuing current practices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 A clear distinction between low and high priority actions was observed on the watershed map (Figure</w:t>
      </w:r>
      <w:r>
        <w:t xml:space="preserve"> </w:t>
      </w:r>
      <w:r>
        <w:t xml:space="preserve">6</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3" w:name="discussion"/>
      <w:r>
        <w:t xml:space="preserve">Discussion</w:t>
      </w:r>
      <w:bookmarkEnd w:id="43"/>
    </w:p>
    <w:p>
      <w:pPr>
        <w:pStyle w:val="FirstParagraph"/>
      </w:pPr>
      <w:r>
        <w:t xml:space="preserve">The prevalence of degraded stream sites in California requires the use of 1) assessment tools that can accurately evaluate condition, and 2) tools that can provide a context for evaluating assessment tools. The landscape model was developed to better inform application of the CSCI to inform decision-making in the context of landscape constraints on biological condition. Statewide development of the model demonstrated where streams are likely constrained on a regional basis, whereas application to the SGR watershed demonstrated how the model can be used by local stakeholders to prioritize management actions that are informed by landscape context. Most importantly, this model does not provide a diagnosis of causes of impairment, nor does it provide an exemption from management intervention if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objectives</w:t>
      </w:r>
      <w:r>
        <w:t xml:space="preserve">”</w:t>
      </w:r>
      <w:r>
        <w:t xml:space="preserve"> </w:t>
      </w:r>
      <w:r>
        <w:t xml:space="preserve">under the Clean Water Act). Regulatory management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could be used to evaluate sites that are or are not meeting biological objectives relative to their modeled condition. This could be used to guide and provide flexibility in the selection of regulatory actions at specific sites or watershed scales (e.g., hydrologic subareas), and to further prioritize where and when actions should take place based on the time and spatial scale needed for protection or restoration actions. For example, for sites that meet biological objectives but where the models predict they can or should not (e.g., Figure S1, segment types 5, 9, 10, or 13), regulatory actions may be associated with protecting that condition and could be implemented in the short-term to prevent degradation. This flexibility is not to exclude sites from consideration that are less likely to achieve biological objectives, but rather to facilitate the decision-making process through a more transparent application of the model in a regulatory context.</w:t>
      </w:r>
    </w:p>
    <w:p>
      <w:pPr>
        <w:pStyle w:val="Heading2"/>
      </w:pPr>
      <w:bookmarkStart w:id="44" w:name="the-landscape-model-is-a-tool-for-exploring-options"/>
      <w:r>
        <w:t xml:space="preserve">The landscape model is a tool for exploring options</w:t>
      </w:r>
      <w:bookmarkEnd w:id="44"/>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managagment priorities. In doing so, the group was able to synthesize a large volume of bioassessment data to explore potential management actions relative to the landscape contexts of the watershed.</w:t>
      </w:r>
    </w:p>
    <w:p>
      <w:pPr>
        <w:pStyle w:val="BodyText"/>
      </w:pPr>
      <w:r>
        <w:t xml:space="preserve">The ability of the landscape model to predict the range of expected biological condition at a given site reflects an associative link between present land use and stream biology. A relatively low expected range of CSCI scores is an indication that stressors originating from the landscape may have imposed habitat limits that constrain biology. From a regulatory perspective, many states, including California, have explicit biological assessment requirements which are often interpreted in the context of land use. The use of biological endpoints in the landscape model could facilitate the implementation of biological standards, although as indicated, the model is more appropriate in a supporting role for regulation rather than direct application. Landscape models could also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w:t>
      </w:r>
    </w:p>
    <w:p>
      <w:pPr>
        <w:pStyle w:val="BodyText"/>
      </w:pPr>
      <w:r>
        <w:t xml:space="preserve">Several states have recommended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defining alternative standards and uses based solely on channel modification may be insufficient. Constrained channels in rural landscapes (e.g., the mainstem of the Klamath and Russian rivers in the North Coast region) were identified by the model, as well as many streams in agricultural areas (e.g., Salinas River). In the context of the model, a constrained channel may or may not be engineered, but an engineered channel will typically be constrained given the surrounding land use. For example, Tecolote Creek (San Diego County, USA) was identified as a constrained channel in an urban landscape (Figure</w:t>
      </w:r>
      <w:r>
        <w:t xml:space="preserve"> </w:t>
      </w:r>
      <w:r>
        <w:t xml:space="preserve">8</w:t>
      </w:r>
      <w:r>
        <w:t xml:space="preserve">). The channel is not modified and physical habitat measured at the sampling site suggests minimal alteration, whereas the CSCI score is 0.61 indicating degraded biological integrity. Landscape pressures have impacted the biological community at this site because physical habitat is not likely a limiting factor. Modified channels may also be present in undeveloped landscapes and high bioassessment scores have been observed in armoured streams within national forest lands</w:t>
      </w:r>
      <w:r>
        <w:t xml:space="preserve"> </w:t>
      </w:r>
      <w:r>
        <w:t xml:space="preserve">(Stein et al.</w:t>
      </w:r>
      <w:r>
        <w:t xml:space="preserve"> </w:t>
      </w:r>
      <w:hyperlink w:anchor="ref-Stein13">
        <w:r>
          <w:rPr>
            <w:rStyle w:val="Hyperlink"/>
          </w:rPr>
          <w:t xml:space="preserve">2013</w:t>
        </w:r>
      </w:hyperlink>
      <w:r>
        <w:t xml:space="preserve">)</w:t>
      </w:r>
      <w:r>
        <w:t xml:space="preserve">. A classification framework for biological constraints using only channel modification would provide incomplete information relative to an approach using landscape information. These results are well supported by other landscape studies, particularly for macroinvertebrates</w:t>
      </w:r>
      <w:r>
        <w:t xml:space="preserve"> </w:t>
      </w:r>
      <w:r>
        <w:t xml:space="preserve">(May et al.</w:t>
      </w:r>
      <w:r>
        <w:t xml:space="preserve"> </w:t>
      </w:r>
      <w:hyperlink w:anchor="ref-May15">
        <w:r>
          <w:rPr>
            <w:rStyle w:val="Hyperlink"/>
          </w:rPr>
          <w:t xml:space="preserve">2015</w:t>
        </w:r>
      </w:hyperlink>
      <w:r>
        <w:t xml:space="preserve">)</w:t>
      </w:r>
      <w:r>
        <w:t xml:space="preserve">.</w:t>
      </w:r>
    </w:p>
    <w:p>
      <w:pPr>
        <w:pStyle w:val="BodyText"/>
      </w:pPr>
      <w:r>
        <w:t xml:space="preserve">The utility of landscape models in supporting watershed management has applications outside of California.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elsewhere in diverse bioassessment contexts. The CSCI was developed for macroinvertebrate assessment in California, but this approach could be applied with other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In addition, extension of the landscape model could be explored to develop a national 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5" w:name="model-assumptions-and-limitations"/>
      <w:r>
        <w:t xml:space="preserve">Model assumptions and limitations</w:t>
      </w:r>
      <w:bookmarkEnd w:id="45"/>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As such, landscape variables were chosen to capture the effects of development on CSCI scores in these areas (Table</w:t>
      </w:r>
      <w:r>
        <w:t xml:space="preserve"> </w:t>
      </w:r>
      <w:r>
        <w:t xml:space="preserve">1</w:t>
      </w:r>
      <w:r>
        <w:t xml:space="preserve">). This could lead to erroneous conclusions in regions where different stressors have strong impacts on stream condition. For example, our results suggest that streams in the North Coast and Sierra Nevada regions are largely unconstrained, but model performance was poor in these areas. The dominant stressors likely to affect stream condition in these regions originate from sources that are less common in developed landscapes, e.g., silviculture, cannabis cultivation, water extraction, and hydrologic alteration. The current landscape model does not adequately capture these impacts outside of urban and agricultural environments. Moreover, poor model performance is compounded by relatively poor performance of the CSCI to capture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much less readily available,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and the CSCI can adequately discriminate between intractable constraints on biology that are spatially and temporally pervasive relative to more manageable constraints. This assumption applies to any stressor gradient that could be used to develop the model. For example, our model adequately described urban constraints but there was no context for temporal or spatial scales that have management relevance. Pervasive and profound alteration to groundwater and hydrology is common in highly developed areas and stream communities may not ever be able to be restored to reference conditions even in the most extreme management interventions. Similar conditions likely exist for other land use gradients. For example, a landscape model developed to describe constraints from timber harvesting practices may not provide adequate information on the long-term impacts of siltation on stream integrity if the input data does not describe these impacts at spatial and temporal scales that are relevant for management. The potential legacy impacts of large-scale alterations of the natural environment are not well-captured by the current model, neither from a spatial nor temporal perspective. Our analysis of landscape factors associated with constraints using additional StreamCat variables provided a preliminary means of addressing this concern (Figure S4), although a more refined application of the landscape model would be necessary to evaluate different scales of impact. This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Many urban streams can support diverse algal assemblages such that algal-based measures of biotic condition may alternatively suggest good biotic condition relative to macroinvertebrate-based indices. The focus of the landscape model on a specific taxa is not unique to other bioassessment tools and application to other taxa as alternative lines of evidence is needed for a more complete assessment of how condition relates to landscape alteration.</w:t>
      </w:r>
    </w:p>
    <w:p>
      <w:pPr>
        <w:pStyle w:val="Heading2"/>
      </w:pPr>
      <w:bookmarkStart w:id="46" w:name="engagement-of-local-stakeholders-is-critical-for-regional-application"/>
      <w:r>
        <w:t xml:space="preserve">Engagement of local stakeholders is critical for regional application</w:t>
      </w:r>
      <w:bookmarkEnd w:id="46"/>
    </w:p>
    <w:p>
      <w:pPr>
        <w:pStyle w:val="FirstParagraph"/>
      </w:pPr>
      <w:r>
        <w:t xml:space="preserve">Application of the landscape model to define potential management actions was effectively tested with stakeholders from the SGR Regional Monitoring Program.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more likely to adopt the recommendations provided by these tools in formal decision-making. The recommended actions have relevance only in the context of interests of the SGR Regional Monitoring Program. Localized applications of the statewide model must engage stakeholders in a similar process to develop recommendations that are specific to regional needs.</w:t>
      </w:r>
    </w:p>
    <w:p>
      <w:pPr>
        <w:pStyle w:val="BodyText"/>
      </w:pPr>
      <w:r>
        <w:t xml:space="preserve">The development of the SCAPE application was also critical for engaging the stakeholder group. The application provided a means of demonstrating core concepts of the landscape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dicrepancies between CSCI scores and other measures of stream condition had been observed. The SCAPE application prioritized a site for restoration in the upper watershed that was unconstrained and under-performing. This confirmed a discrepancy identified by the stakeholders where good physical habitat conditions were observed from field visits, but the observed CSCI score was below the chosen threshold. As such, application of the landscape modelling approach to other regions will benefit from similar tools that actively engage managers with bioassessment data.</w:t>
      </w:r>
    </w:p>
    <w:p>
      <w:pPr>
        <w:pStyle w:val="Heading2"/>
      </w:pPr>
      <w:bookmarkStart w:id="47" w:name="summary"/>
      <w:r>
        <w:t xml:space="preserve">Summary</w:t>
      </w:r>
      <w:bookmarkEnd w:id="47"/>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8" w:name="supplement"/>
      <w:r>
        <w:t xml:space="preserve">Supplement</w:t>
      </w:r>
      <w:bookmarkEnd w:id="48"/>
    </w:p>
    <w:p>
      <w:pPr>
        <w:pStyle w:val="FirstParagraph"/>
      </w:pPr>
      <w:r>
        <w:t xml:space="preserve">The SCAPE model application website:</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Supplement 1. An analysis that demonstrates how biological expectations can be defined for unclassified stream segments is provided in Supplement 2.</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504749" cy="7339665"/>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52"/>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66766" cy="5041804"/>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3"/>
                    <a:stretch>
                      <a:fillRect/>
                    </a:stretch>
                  </pic:blipFill>
                  <pic:spPr bwMode="auto">
                    <a:xfrm>
                      <a:off x="0" y="0"/>
                      <a:ext cx="3666766" cy="5041804"/>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5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4"/>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5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6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55"/>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6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w:t>
      </w:r>
    </w:p>
    <w:p>
      <w:pPr>
        <w:pStyle w:val="CaptionedFigure"/>
      </w:pPr>
      <w:r>
        <w:drawing>
          <wp:inline>
            <wp:extent cx="5046020" cy="4587290"/>
            <wp:effectExtent b="0" l="0" r="0" t="0"/>
            <wp:docPr descr="Figure 7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6"/>
                    <a:stretch>
                      <a:fillRect/>
                    </a:stretch>
                  </pic:blipFill>
                  <pic:spPr bwMode="auto">
                    <a:xfrm>
                      <a:off x="0" y="0"/>
                      <a:ext cx="5046020" cy="4587290"/>
                    </a:xfrm>
                    <a:prstGeom prst="rect">
                      <a:avLst/>
                    </a:prstGeom>
                    <a:noFill/>
                    <a:ln w="9525">
                      <a:noFill/>
                      <a:headEnd/>
                      <a:tailEnd/>
                    </a:ln>
                  </pic:spPr>
                </pic:pic>
              </a:graphicData>
            </a:graphic>
          </wp:inline>
        </w:drawing>
      </w:r>
    </w:p>
    <w:p>
      <w:pPr>
        <w:pStyle w:val="ImageCaption"/>
      </w:pPr>
      <w:r>
        <w:t xml:space="preserve">Figure 7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at the sample site suggest no channel alteration. The CSCI was scored at 0.61 indicating degraded biological integrity." title="" id="1" name="Picture"/>
            <a:graphic>
              <a:graphicData uri="http://schemas.openxmlformats.org/drawingml/2006/picture">
                <pic:pic>
                  <pic:nvPicPr>
                    <pic:cNvPr descr="figs/Tecolotefig.pn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at the sample site suggest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indvidual variables in StreamCat as noted in the desciption.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vidual variables in StreamCat as noted in the desc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argricultural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66"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2">
        <w:r>
          <w:rPr>
            <w:rStyle w:val="Hyperlink"/>
          </w:rPr>
          <w:t xml:space="preserve">https://doi.org/10.1146/annurev.ecolsys.35.120202.110122</w:t>
        </w:r>
      </w:hyperlink>
      <w:r>
        <w:t xml:space="preserve">.</w:t>
      </w:r>
    </w:p>
    <w:bookmarkEnd w:id="63"/>
    <w:bookmarkStart w:id="65" w:name="ref-Beck18c"/>
    <w:p>
      <w:pPr>
        <w:pStyle w:val="Bibliography"/>
      </w:pPr>
      <w:r>
        <w:t xml:space="preserve">Beck, M. W. 2018. “SCCWRP/SCAPE: v1.0 (Version 1.0). Zenodo,</w:t>
      </w:r>
      <w:r>
        <w:t xml:space="preserve"> </w:t>
      </w:r>
      <w:hyperlink r:id="rId64">
        <w:r>
          <w:rPr>
            <w:rStyle w:val="Hyperlink"/>
          </w:rPr>
          <w:t xml:space="preserve">http://doi.org/10.5281/zenodo.1218121</w:t>
        </w:r>
      </w:hyperlink>
      <w:r>
        <w:t xml:space="preserve">.”</w:t>
      </w:r>
    </w:p>
    <w:bookmarkEnd w:id="65"/>
    <w:bookmarkStart w:id="67"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6">
        <w:r>
          <w:rPr>
            <w:rStyle w:val="Hyperlink"/>
          </w:rPr>
          <w:t xml:space="preserve">https://doi.org/10.1577/M06-174.1</w:t>
        </w:r>
      </w:hyperlink>
      <w:r>
        <w:t xml:space="preserve">.</w:t>
      </w:r>
    </w:p>
    <w:bookmarkEnd w:id="67"/>
    <w:bookmarkStart w:id="69"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8">
        <w:r>
          <w:rPr>
            <w:rStyle w:val="Hyperlink"/>
          </w:rPr>
          <w:t xml:space="preserve">https://www.waterboards.ca.gov/sandiego/water_issues/programs/303d_list/docs/Staff_Report_101216.pdf</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2"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1">
        <w:r>
          <w:rPr>
            <w:rStyle w:val="Hyperlink"/>
          </w:rPr>
          <w:t xml:space="preserve">https://doi.org/10.1016/j.landurbplan.2012.07.009</w:t>
        </w:r>
      </w:hyperlink>
      <w:r>
        <w:t xml:space="preserve">.</w:t>
      </w:r>
    </w:p>
    <w:bookmarkEnd w:id="72"/>
    <w:bookmarkStart w:id="74"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3">
        <w:r>
          <w:rPr>
            <w:rStyle w:val="Hyperlink"/>
          </w:rPr>
          <w:t xml:space="preserve">https://doi.org/10.1007/s10661-014-4132-8</w:t>
        </w:r>
      </w:hyperlink>
      <w:r>
        <w:t xml:space="preserve">.</w:t>
      </w:r>
    </w:p>
    <w:bookmarkEnd w:id="74"/>
    <w:bookmarkStart w:id="75"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5"/>
    <w:bookmarkStart w:id="76" w:name="ref-CRWQCB14"/>
    <w:p>
      <w:pPr>
        <w:pStyle w:val="Bibliography"/>
      </w:pPr>
      <w:r>
        <w:t xml:space="preserve">California Regional Water Quality Control Board, Los Angeles Region. 2014. “Basin Plan for the Coastal Watersheds of Los Angeles and Ventura Counties.”</w:t>
      </w:r>
    </w:p>
    <w:bookmarkEnd w:id="76"/>
    <w:bookmarkStart w:id="78"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77">
        <w:r>
          <w:rPr>
            <w:rStyle w:val="Hyperlink"/>
          </w:rPr>
          <w:t xml:space="preserve">https://doi.org/10.1899/06-078.1</w:t>
        </w:r>
      </w:hyperlink>
      <w:r>
        <w:t xml:space="preserve">.</w:t>
      </w:r>
    </w:p>
    <w:bookmarkEnd w:id="78"/>
    <w:bookmarkStart w:id="80"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9">
        <w:r>
          <w:rPr>
            <w:rStyle w:val="Hyperlink"/>
          </w:rPr>
          <w:t xml:space="preserve">https://doi.org/10.1111/j.1526-100X.2007.00285.x</w:t>
        </w:r>
      </w:hyperlink>
      <w:r>
        <w:t xml:space="preserve">.</w:t>
      </w:r>
    </w:p>
    <w:bookmarkEnd w:id="80"/>
    <w:bookmarkStart w:id="82"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1">
        <w:r>
          <w:rPr>
            <w:rStyle w:val="Hyperlink"/>
          </w:rPr>
          <w:t xml:space="preserve">https://doi.org/10.1007/s10661-008-0256-z</w:t>
        </w:r>
      </w:hyperlink>
      <w:r>
        <w:t xml:space="preserve">.</w:t>
      </w:r>
    </w:p>
    <w:bookmarkEnd w:id="82"/>
    <w:bookmarkStart w:id="84"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3">
        <w:r>
          <w:rPr>
            <w:rStyle w:val="Hyperlink"/>
          </w:rPr>
          <w:t xml:space="preserve">https://doi.org/10.1016/j.ecolind.2013.07.006</w:t>
        </w:r>
      </w:hyperlink>
      <w:r>
        <w:t xml:space="preserve">.</w:t>
      </w:r>
    </w:p>
    <w:bookmarkEnd w:id="84"/>
    <w:bookmarkStart w:id="86"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85">
        <w:r>
          <w:rPr>
            <w:rStyle w:val="Hyperlink"/>
          </w:rPr>
          <w:t xml:space="preserve">https://doi.org/10.1086/678701</w:t>
        </w:r>
      </w:hyperlink>
      <w:r>
        <w:t xml:space="preserve">.</w:t>
      </w:r>
    </w:p>
    <w:bookmarkEnd w:id="86"/>
    <w:bookmarkStart w:id="88"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87">
        <w:r>
          <w:rPr>
            <w:rStyle w:val="Hyperlink"/>
          </w:rPr>
          <w:t xml:space="preserve">https://doi.org/10.1002/rra.1053</w:t>
        </w:r>
      </w:hyperlink>
      <w:r>
        <w:t xml:space="preserve">.</w:t>
      </w:r>
    </w:p>
    <w:bookmarkEnd w:id="88"/>
    <w:bookmarkStart w:id="90"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89">
        <w:r>
          <w:rPr>
            <w:rStyle w:val="Hyperlink"/>
          </w:rPr>
          <w:t xml:space="preserve">https://doi.org/10.1899/0887-3593(2004)023%3C0599:BWRSUO%3E2.0.CO;2</w:t>
        </w:r>
      </w:hyperlink>
      <w:r>
        <w:t xml:space="preserve">.</w:t>
      </w:r>
    </w:p>
    <w:bookmarkEnd w:id="90"/>
    <w:bookmarkStart w:id="92"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1">
        <w:r>
          <w:rPr>
            <w:rStyle w:val="Hyperlink"/>
          </w:rPr>
          <w:t xml:space="preserve">https://doi.org/10.1111/j.1365-2427.2011.02696.x</w:t>
        </w:r>
      </w:hyperlink>
      <w:r>
        <w:t xml:space="preserve">.</w:t>
      </w:r>
    </w:p>
    <w:bookmarkEnd w:id="92"/>
    <w:bookmarkStart w:id="94"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93">
        <w:r>
          <w:rPr>
            <w:rStyle w:val="Hyperlink"/>
          </w:rPr>
          <w:t xml:space="preserve">https://doi.org/10.1002/etc.2059</w:t>
        </w:r>
      </w:hyperlink>
      <w:r>
        <w:t xml:space="preserve">.</w:t>
      </w:r>
    </w:p>
    <w:bookmarkEnd w:id="94"/>
    <w:bookmarkStart w:id="95"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95"/>
    <w:bookmarkStart w:id="96" w:name="ref-ESRI16"/>
    <w:p>
      <w:pPr>
        <w:pStyle w:val="Bibliography"/>
      </w:pPr>
      <w:r>
        <w:t xml:space="preserve">ESRI (Environmental Systems Research Institute). 2016. “ArcGIS v10.5.”</w:t>
      </w:r>
    </w:p>
    <w:bookmarkEnd w:id="96"/>
    <w:bookmarkStart w:id="98"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97">
        <w:r>
          <w:rPr>
            <w:rStyle w:val="Hyperlink"/>
          </w:rPr>
          <w:t xml:space="preserve">https://doi.org/10.1111/j.1752-1688.2000.tb05717.x</w:t>
        </w:r>
      </w:hyperlink>
      <w:r>
        <w:t xml:space="preserve">.</w:t>
      </w:r>
    </w:p>
    <w:bookmarkEnd w:id="98"/>
    <w:bookmarkStart w:id="99"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99"/>
    <w:bookmarkStart w:id="101"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0">
        <w:r>
          <w:rPr>
            <w:rStyle w:val="Hyperlink"/>
          </w:rPr>
          <w:t xml:space="preserve">https://doi.org/10.1007/s10661-017-6025-0</w:t>
        </w:r>
      </w:hyperlink>
      <w:r>
        <w:t xml:space="preserve">.</w:t>
      </w:r>
    </w:p>
    <w:bookmarkEnd w:id="101"/>
    <w:bookmarkStart w:id="102"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02"/>
    <w:bookmarkStart w:id="103"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03"/>
    <w:bookmarkStart w:id="105"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04">
        <w:r>
          <w:rPr>
            <w:rStyle w:val="Hyperlink"/>
          </w:rPr>
          <w:t xml:space="preserve">https://doi.org/10.1002/eap.1617</w:t>
        </w:r>
      </w:hyperlink>
      <w:r>
        <w:t xml:space="preserve">.</w:t>
      </w:r>
    </w:p>
    <w:bookmarkEnd w:id="105"/>
    <w:bookmarkStart w:id="107"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06">
        <w:r>
          <w:rPr>
            <w:rStyle w:val="Hyperlink"/>
          </w:rPr>
          <w:t xml:space="preserve">https://doi.org/10.1111/1752-1688.12372</w:t>
        </w:r>
      </w:hyperlink>
      <w:r>
        <w:t xml:space="preserve">.</w:t>
      </w:r>
    </w:p>
    <w:bookmarkEnd w:id="107"/>
    <w:bookmarkStart w:id="109"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08">
        <w:r>
          <w:rPr>
            <w:rStyle w:val="Hyperlink"/>
          </w:rPr>
          <w:t xml:space="preserve">https://doi.org/10.1086/697996</w:t>
        </w:r>
      </w:hyperlink>
      <w:r>
        <w:t xml:space="preserve">.</w:t>
      </w:r>
    </w:p>
    <w:bookmarkEnd w:id="109"/>
    <w:bookmarkStart w:id="111"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0">
        <w:r>
          <w:rPr>
            <w:rStyle w:val="Hyperlink"/>
          </w:rPr>
          <w:t xml:space="preserve">https://doi.org/10.1371/journal.pone.0130710</w:t>
        </w:r>
      </w:hyperlink>
      <w:r>
        <w:t xml:space="preserve">.</w:t>
      </w:r>
    </w:p>
    <w:bookmarkEnd w:id="111"/>
    <w:bookmarkStart w:id="112"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12"/>
    <w:bookmarkStart w:id="11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13">
        <w:r>
          <w:rPr>
            <w:rStyle w:val="Hyperlink"/>
          </w:rPr>
          <w:t xml:space="preserve">https://doi.org/10.1111/j.1752-1688.2011.00635.x</w:t>
        </w:r>
      </w:hyperlink>
      <w:r>
        <w:t xml:space="preserve">.</w:t>
      </w:r>
    </w:p>
    <w:bookmarkEnd w:id="114"/>
    <w:bookmarkStart w:id="116"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15">
        <w:r>
          <w:rPr>
            <w:rStyle w:val="Hyperlink"/>
          </w:rPr>
          <w:t xml:space="preserve">https://doi.org/10.1016/j.scitotenv.2015.07.083</w:t>
        </w:r>
      </w:hyperlink>
      <w:r>
        <w:t xml:space="preserve">.</w:t>
      </w:r>
    </w:p>
    <w:bookmarkEnd w:id="116"/>
    <w:bookmarkStart w:id="118"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17">
        <w:r>
          <w:rPr>
            <w:rStyle w:val="Hyperlink"/>
          </w:rPr>
          <w:t xml:space="preserve">https://doi.org/10.1007%2Fs00267-008-9151-1</w:t>
        </w:r>
      </w:hyperlink>
      <w:r>
        <w:t xml:space="preserve">.</w:t>
      </w:r>
    </w:p>
    <w:bookmarkEnd w:id="118"/>
    <w:bookmarkStart w:id="120"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19">
        <w:r>
          <w:rPr>
            <w:rStyle w:val="Hyperlink"/>
          </w:rPr>
          <w:t xml:space="preserve">https://doi.org/10.3368/er.34.2.124</w:t>
        </w:r>
      </w:hyperlink>
      <w:r>
        <w:t xml:space="preserve">.</w:t>
      </w:r>
    </w:p>
    <w:bookmarkEnd w:id="120"/>
    <w:bookmarkStart w:id="122" w:name="ref-May15"/>
    <w:p>
      <w:pPr>
        <w:pStyle w:val="Bibliography"/>
      </w:pPr>
      <w:r>
        <w:t xml:space="preserve">May, J. T., L. R. Brown, A. C. Rehn, I. R. Waite, P. R. Ode, R. D. Mazor, and K. C. Schiff. 2015. “Correspondence of Biological Condition Models of California Streams at Statewide and Regional Scales.”</w:t>
      </w:r>
      <w:r>
        <w:t xml:space="preserve"> </w:t>
      </w:r>
      <w:r>
        <w:rPr>
          <w:i/>
        </w:rPr>
        <w:t xml:space="preserve">Envrionmental Monitoring and Assessment</w:t>
      </w:r>
      <w:r>
        <w:t xml:space="preserve"> </w:t>
      </w:r>
      <w:r>
        <w:t xml:space="preserve">187:4086.</w:t>
      </w:r>
      <w:r>
        <w:t xml:space="preserve"> </w:t>
      </w:r>
      <w:hyperlink r:id="rId121">
        <w:r>
          <w:rPr>
            <w:rStyle w:val="Hyperlink"/>
          </w:rPr>
          <w:t xml:space="preserve">https://doi.org/10.1007/s10661-014-4086-x</w:t>
        </w:r>
      </w:hyperlink>
      <w:r>
        <w:t xml:space="preserve">.</w:t>
      </w:r>
    </w:p>
    <w:bookmarkEnd w:id="122"/>
    <w:bookmarkStart w:id="12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23"/>
    <w:bookmarkStart w:id="124" w:name="ref-McKay12"/>
    <w:p>
      <w:pPr>
        <w:pStyle w:val="Bibliography"/>
      </w:pPr>
      <w:r>
        <w:t xml:space="preserve">McKay, L., T. Bondelid, T. Dewald, J. Johnston, R. Moore, and A. Reah. 2012. “NHDPlus Version 2: User Guide.”</w:t>
      </w:r>
    </w:p>
    <w:bookmarkEnd w:id="124"/>
    <w:bookmarkStart w:id="125"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25"/>
    <w:bookmarkStart w:id="127"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26">
        <w:r>
          <w:rPr>
            <w:rStyle w:val="Hyperlink"/>
          </w:rPr>
          <w:t xml:space="preserve">https://CRAN.R-project.org/package=quantregForest</w:t>
        </w:r>
      </w:hyperlink>
      <w:r>
        <w:t xml:space="preserve">.</w:t>
      </w:r>
    </w:p>
    <w:bookmarkEnd w:id="127"/>
    <w:bookmarkStart w:id="128"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28"/>
    <w:bookmarkStart w:id="129"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29"/>
    <w:bookmarkStart w:id="131"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0">
        <w:r>
          <w:rPr>
            <w:rStyle w:val="Hyperlink"/>
          </w:rPr>
          <w:t xml:space="preserve">https://doi.org/10.1111/j.1365-2427.1987.tb01027.x</w:t>
        </w:r>
      </w:hyperlink>
      <w:r>
        <w:t xml:space="preserve">.</w:t>
      </w:r>
    </w:p>
    <w:bookmarkEnd w:id="131"/>
    <w:bookmarkStart w:id="133"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32">
        <w:r>
          <w:rPr>
            <w:rStyle w:val="Hyperlink"/>
          </w:rPr>
          <w:t xml:space="preserve">https://doi.org/10.1016/j.watres.2004.09.002</w:t>
        </w:r>
      </w:hyperlink>
      <w:r>
        <w:t xml:space="preserve">.</w:t>
      </w:r>
    </w:p>
    <w:bookmarkEnd w:id="133"/>
    <w:bookmarkStart w:id="134"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34"/>
    <w:bookmarkStart w:id="136"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35">
        <w:r>
          <w:rPr>
            <w:rStyle w:val="Hyperlink"/>
          </w:rPr>
          <w:t xml:space="preserve">https://doi.org/10.1111/j.1752-1688.2008.00280.x</w:t>
        </w:r>
      </w:hyperlink>
      <w:r>
        <w:t xml:space="preserve">.</w:t>
      </w:r>
    </w:p>
    <w:bookmarkEnd w:id="136"/>
    <w:bookmarkStart w:id="137" w:name="ref-RDCT18"/>
    <w:p>
      <w:pPr>
        <w:pStyle w:val="Bibliography"/>
      </w:pPr>
      <w:r>
        <w:t xml:space="preserve">RDCT (R Development Core Team). 2018. “R: A language and environment for statistical computing, v3.4.4. R Foundation for Statistical Computing, Vienna, Austria.”</w:t>
      </w:r>
    </w:p>
    <w:bookmarkEnd w:id="137"/>
    <w:bookmarkStart w:id="138"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38"/>
    <w:bookmarkStart w:id="140"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39">
        <w:r>
          <w:rPr>
            <w:rStyle w:val="Hyperlink"/>
          </w:rPr>
          <w:t xml:space="preserve">https://doi.org/10.1890/11-0077.1</w:t>
        </w:r>
      </w:hyperlink>
      <w:r>
        <w:t xml:space="preserve">.</w:t>
      </w:r>
    </w:p>
    <w:bookmarkEnd w:id="140"/>
    <w:bookmarkStart w:id="141"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41"/>
    <w:bookmarkStart w:id="143"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42">
        <w:r>
          <w:rPr>
            <w:rStyle w:val="Hyperlink"/>
          </w:rPr>
          <w:t xml:space="preserve">https://doi.org/10.1111/gec3.12039</w:t>
        </w:r>
      </w:hyperlink>
      <w:r>
        <w:t xml:space="preserve">.</w:t>
      </w:r>
    </w:p>
    <w:bookmarkEnd w:id="143"/>
    <w:bookmarkStart w:id="145"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44">
        <w:r>
          <w:rPr>
            <w:rStyle w:val="Hyperlink"/>
          </w:rPr>
          <w:t xml:space="preserve">https://doi.org/10.1007/s10661-010-1385-8</w:t>
        </w:r>
      </w:hyperlink>
      <w:r>
        <w:t xml:space="preserve">.</w:t>
      </w:r>
    </w:p>
    <w:bookmarkEnd w:id="145"/>
    <w:bookmarkStart w:id="147"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46">
        <w:r>
          <w:rPr>
            <w:rStyle w:val="Hyperlink"/>
          </w:rPr>
          <w:t xml:space="preserve">https://doi.org/10.1046/j.1365-2427.2001.00758.x</w:t>
        </w:r>
      </w:hyperlink>
      <w:r>
        <w:t xml:space="preserve">.</w:t>
      </w:r>
    </w:p>
    <w:bookmarkEnd w:id="147"/>
    <w:bookmarkStart w:id="149"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48">
        <w:r>
          <w:rPr>
            <w:rStyle w:val="Hyperlink"/>
          </w:rPr>
          <w:t xml:space="preserve">https://doi.org/10.1111/jawr.12035</w:t>
        </w:r>
      </w:hyperlink>
      <w:r>
        <w:t xml:space="preserve">.</w:t>
      </w:r>
    </w:p>
    <w:bookmarkEnd w:id="149"/>
    <w:bookmarkStart w:id="150"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p>
    <w:bookmarkEnd w:id="150"/>
    <w:bookmarkStart w:id="152"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51">
        <w:r>
          <w:rPr>
            <w:rStyle w:val="Hyperlink"/>
          </w:rPr>
          <w:t xml:space="preserve">https://doi.org/10.1111/j.1365-2664.2008.01548.x</w:t>
        </w:r>
      </w:hyperlink>
      <w:r>
        <w:t xml:space="preserve">.</w:t>
      </w:r>
    </w:p>
    <w:bookmarkEnd w:id="152"/>
    <w:bookmarkStart w:id="153"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53"/>
    <w:bookmarkStart w:id="154" w:name="ref-USEPA16"/>
    <w:p>
      <w:pPr>
        <w:pStyle w:val="Bibliography"/>
      </w:pPr>
      <w:r>
        <w:t xml:space="preserve">USEPA (US Environmental Protection Agency). 2016. “National Rivers and Streams Assessment 2008-2009: A Collaborative Survey.” EPA-841-R-16-007. Washington, DC.</w:t>
      </w:r>
    </w:p>
    <w:bookmarkEnd w:id="154"/>
    <w:bookmarkStart w:id="155" w:name="ref-USGS99"/>
    <w:p>
      <w:pPr>
        <w:pStyle w:val="Bibliography"/>
      </w:pPr>
      <w:r>
        <w:t xml:space="preserve">USGS (US Geological Survey). 1999. “The quality of our nation’s waters: nutrients and pesticides.” Reston, Virginia.</w:t>
      </w:r>
    </w:p>
    <w:bookmarkEnd w:id="155"/>
    <w:bookmarkStart w:id="157"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56">
        <w:r>
          <w:rPr>
            <w:rStyle w:val="Hyperlink"/>
          </w:rPr>
          <w:t xml:space="preserve">https://doi.org/10.1023/A:1023374524254</w:t>
        </w:r>
      </w:hyperlink>
      <w:r>
        <w:t xml:space="preserve">.</w:t>
      </w:r>
    </w:p>
    <w:bookmarkEnd w:id="157"/>
    <w:bookmarkStart w:id="159"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58">
        <w:r>
          <w:rPr>
            <w:rStyle w:val="Hyperlink"/>
          </w:rPr>
          <w:t xml:space="preserve">https://doi.org/10.1111/jawr.12032</w:t>
        </w:r>
      </w:hyperlink>
      <w:r>
        <w:t xml:space="preserve">.</w:t>
      </w:r>
    </w:p>
    <w:bookmarkEnd w:id="159"/>
    <w:bookmarkStart w:id="161"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60">
        <w:r>
          <w:rPr>
            <w:rStyle w:val="Hyperlink"/>
          </w:rPr>
          <w:t xml:space="preserve">https://doi.org/10.1371/journal.pone.0090944</w:t>
        </w:r>
      </w:hyperlink>
      <w:r>
        <w:t xml:space="preserve">.</w:t>
      </w:r>
    </w:p>
    <w:bookmarkEnd w:id="161"/>
    <w:bookmarkStart w:id="163"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62">
        <w:r>
          <w:rPr>
            <w:rStyle w:val="Hyperlink"/>
          </w:rPr>
          <w:t xml:space="preserve">https://doi.org/10.1899/04-028.1</w:t>
        </w:r>
      </w:hyperlink>
      <w:r>
        <w:t xml:space="preserve">.</w:t>
      </w:r>
    </w:p>
    <w:bookmarkEnd w:id="163"/>
    <w:bookmarkStart w:id="165"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64">
        <w:r>
          <w:rPr>
            <w:rStyle w:val="Hyperlink"/>
          </w:rPr>
          <w:t xml:space="preserve">https://doi.org/10.1577/1548-8446(1997)022%3C0006:IOWLUO%3E2.0.CO;2</w:t>
        </w:r>
      </w:hyperlink>
      <w:r>
        <w:t xml:space="preserve">.</w:t>
      </w:r>
    </w:p>
    <w:bookmarkEnd w:id="165"/>
    <w:bookmarkEnd w:id="166"/>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26" Target="https://CRAN.R-project.org/package=quantregForest" TargetMode="External" /><Relationship Type="http://schemas.openxmlformats.org/officeDocument/2006/relationships/hyperlink" Id="rId104" Target="https://doi.org/10.1002/eap.1617" TargetMode="External" /><Relationship Type="http://schemas.openxmlformats.org/officeDocument/2006/relationships/hyperlink" Id="rId93" Target="https://doi.org/10.1002/etc.2059" TargetMode="External" /><Relationship Type="http://schemas.openxmlformats.org/officeDocument/2006/relationships/hyperlink" Id="rId87" Target="https://doi.org/10.1002/rra.1053" TargetMode="External" /><Relationship Type="http://schemas.openxmlformats.org/officeDocument/2006/relationships/hyperlink" Id="rId117" Target="https://doi.org/10.1007%2Fs00267-008-9151-1" TargetMode="External" /><Relationship Type="http://schemas.openxmlformats.org/officeDocument/2006/relationships/hyperlink" Id="rId81" Target="https://doi.org/10.1007/s10661-008-0256-z" TargetMode="External" /><Relationship Type="http://schemas.openxmlformats.org/officeDocument/2006/relationships/hyperlink" Id="rId144" Target="https://doi.org/10.1007/s10661-010-1385-8" TargetMode="External" /><Relationship Type="http://schemas.openxmlformats.org/officeDocument/2006/relationships/hyperlink" Id="rId121" Target="https://doi.org/10.1007/s10661-014-4086-x" TargetMode="External" /><Relationship Type="http://schemas.openxmlformats.org/officeDocument/2006/relationships/hyperlink" Id="rId73" Target="https://doi.org/10.1007/s10661-014-4132-8" TargetMode="External" /><Relationship Type="http://schemas.openxmlformats.org/officeDocument/2006/relationships/hyperlink" Id="rId100" Target="https://doi.org/10.1007/s10661-017-6025-0" TargetMode="External" /><Relationship Type="http://schemas.openxmlformats.org/officeDocument/2006/relationships/hyperlink" Id="rId83" Target="https://doi.org/10.1016/j.ecolind.2013.07.006" TargetMode="External" /><Relationship Type="http://schemas.openxmlformats.org/officeDocument/2006/relationships/hyperlink" Id="rId71" Target="https://doi.org/10.1016/j.landurbplan.2012.07.009" TargetMode="External" /><Relationship Type="http://schemas.openxmlformats.org/officeDocument/2006/relationships/hyperlink" Id="rId115" Target="https://doi.org/10.1016/j.scitotenv.2015.07.083" TargetMode="External" /><Relationship Type="http://schemas.openxmlformats.org/officeDocument/2006/relationships/hyperlink" Id="rId132" Target="https://doi.org/10.1016/j.watres.2004.09.002" TargetMode="External" /><Relationship Type="http://schemas.openxmlformats.org/officeDocument/2006/relationships/hyperlink" Id="rId156" Target="https://doi.org/10.1023/A:1023374524254" TargetMode="External" /><Relationship Type="http://schemas.openxmlformats.org/officeDocument/2006/relationships/hyperlink" Id="rId60" Target="https://doi.org/10.1046/j.1365-2427.1997.d01-546.x" TargetMode="External" /><Relationship Type="http://schemas.openxmlformats.org/officeDocument/2006/relationships/hyperlink" Id="rId146" Target="https://doi.org/10.1046/j.1365-2427.2001.00758.x" TargetMode="External" /><Relationship Type="http://schemas.openxmlformats.org/officeDocument/2006/relationships/hyperlink" Id="rId85" Target="https://doi.org/10.1086/678701" TargetMode="External" /><Relationship Type="http://schemas.openxmlformats.org/officeDocument/2006/relationships/hyperlink" Id="rId108" Target="https://doi.org/10.1086/697996" TargetMode="External" /><Relationship Type="http://schemas.openxmlformats.org/officeDocument/2006/relationships/hyperlink" Id="rId106" Target="https://doi.org/10.1111/1752-1688.12372" TargetMode="External" /><Relationship Type="http://schemas.openxmlformats.org/officeDocument/2006/relationships/hyperlink" Id="rId142" Target="https://doi.org/10.1111/gec3.12039" TargetMode="External" /><Relationship Type="http://schemas.openxmlformats.org/officeDocument/2006/relationships/hyperlink" Id="rId130" Target="https://doi.org/10.1111/j.1365-2427.1987.tb01027.x" TargetMode="External" /><Relationship Type="http://schemas.openxmlformats.org/officeDocument/2006/relationships/hyperlink" Id="rId91" Target="https://doi.org/10.1111/j.1365-2427.2011.02696.x" TargetMode="External" /><Relationship Type="http://schemas.openxmlformats.org/officeDocument/2006/relationships/hyperlink" Id="rId151" Target="https://doi.org/10.1111/j.1365-2664.2008.01548.x" TargetMode="External" /><Relationship Type="http://schemas.openxmlformats.org/officeDocument/2006/relationships/hyperlink" Id="rId79" Target="https://doi.org/10.1111/j.1526-100X.2007.00285.x" TargetMode="External" /><Relationship Type="http://schemas.openxmlformats.org/officeDocument/2006/relationships/hyperlink" Id="rId97" Target="https://doi.org/10.1111/j.1752-1688.2000.tb05717.x" TargetMode="External" /><Relationship Type="http://schemas.openxmlformats.org/officeDocument/2006/relationships/hyperlink" Id="rId135" Target="https://doi.org/10.1111/j.1752-1688.2008.00280.x" TargetMode="External" /><Relationship Type="http://schemas.openxmlformats.org/officeDocument/2006/relationships/hyperlink" Id="rId113" Target="https://doi.org/10.1111/j.1752-1688.2011.00635.x" TargetMode="External" /><Relationship Type="http://schemas.openxmlformats.org/officeDocument/2006/relationships/hyperlink" Id="rId158" Target="https://doi.org/10.1111/jawr.12032" TargetMode="External" /><Relationship Type="http://schemas.openxmlformats.org/officeDocument/2006/relationships/hyperlink" Id="rId148"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160" Target="https://doi.org/10.1371/journal.pone.0090944" TargetMode="External" /><Relationship Type="http://schemas.openxmlformats.org/officeDocument/2006/relationships/hyperlink" Id="rId110" Target="https://doi.org/10.1371/journal.pone.0130710" TargetMode="External" /><Relationship Type="http://schemas.openxmlformats.org/officeDocument/2006/relationships/hyperlink" Id="rId164"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39" Target="https://doi.org/10.1890/11-0077.1" TargetMode="External" /><Relationship Type="http://schemas.openxmlformats.org/officeDocument/2006/relationships/hyperlink" Id="rId162" Target="https://doi.org/10.1899/04-028.1" TargetMode="External" /><Relationship Type="http://schemas.openxmlformats.org/officeDocument/2006/relationships/hyperlink" Id="rId77" Target="https://doi.org/10.1899/06-078.1" TargetMode="External" /><Relationship Type="http://schemas.openxmlformats.org/officeDocument/2006/relationships/hyperlink" Id="rId89" Target="https://doi.org/10.1899/0887-3593(2004)023%3C0599:BWRSUO%3E2.0.CO;2" TargetMode="External" /><Relationship Type="http://schemas.openxmlformats.org/officeDocument/2006/relationships/hyperlink" Id="rId119"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26" Target="https://CRAN.R-project.org/package=quantregForest" TargetMode="External" /><Relationship Type="http://schemas.openxmlformats.org/officeDocument/2006/relationships/hyperlink" Id="rId104" Target="https://doi.org/10.1002/eap.1617" TargetMode="External" /><Relationship Type="http://schemas.openxmlformats.org/officeDocument/2006/relationships/hyperlink" Id="rId93" Target="https://doi.org/10.1002/etc.2059" TargetMode="External" /><Relationship Type="http://schemas.openxmlformats.org/officeDocument/2006/relationships/hyperlink" Id="rId87" Target="https://doi.org/10.1002/rra.1053" TargetMode="External" /><Relationship Type="http://schemas.openxmlformats.org/officeDocument/2006/relationships/hyperlink" Id="rId117" Target="https://doi.org/10.1007%2Fs00267-008-9151-1" TargetMode="External" /><Relationship Type="http://schemas.openxmlformats.org/officeDocument/2006/relationships/hyperlink" Id="rId81" Target="https://doi.org/10.1007/s10661-008-0256-z" TargetMode="External" /><Relationship Type="http://schemas.openxmlformats.org/officeDocument/2006/relationships/hyperlink" Id="rId144" Target="https://doi.org/10.1007/s10661-010-1385-8" TargetMode="External" /><Relationship Type="http://schemas.openxmlformats.org/officeDocument/2006/relationships/hyperlink" Id="rId121" Target="https://doi.org/10.1007/s10661-014-4086-x" TargetMode="External" /><Relationship Type="http://schemas.openxmlformats.org/officeDocument/2006/relationships/hyperlink" Id="rId73" Target="https://doi.org/10.1007/s10661-014-4132-8" TargetMode="External" /><Relationship Type="http://schemas.openxmlformats.org/officeDocument/2006/relationships/hyperlink" Id="rId100" Target="https://doi.org/10.1007/s10661-017-6025-0" TargetMode="External" /><Relationship Type="http://schemas.openxmlformats.org/officeDocument/2006/relationships/hyperlink" Id="rId83" Target="https://doi.org/10.1016/j.ecolind.2013.07.006" TargetMode="External" /><Relationship Type="http://schemas.openxmlformats.org/officeDocument/2006/relationships/hyperlink" Id="rId71" Target="https://doi.org/10.1016/j.landurbplan.2012.07.009" TargetMode="External" /><Relationship Type="http://schemas.openxmlformats.org/officeDocument/2006/relationships/hyperlink" Id="rId115" Target="https://doi.org/10.1016/j.scitotenv.2015.07.083" TargetMode="External" /><Relationship Type="http://schemas.openxmlformats.org/officeDocument/2006/relationships/hyperlink" Id="rId132" Target="https://doi.org/10.1016/j.watres.2004.09.002" TargetMode="External" /><Relationship Type="http://schemas.openxmlformats.org/officeDocument/2006/relationships/hyperlink" Id="rId156" Target="https://doi.org/10.1023/A:1023374524254" TargetMode="External" /><Relationship Type="http://schemas.openxmlformats.org/officeDocument/2006/relationships/hyperlink" Id="rId60" Target="https://doi.org/10.1046/j.1365-2427.1997.d01-546.x" TargetMode="External" /><Relationship Type="http://schemas.openxmlformats.org/officeDocument/2006/relationships/hyperlink" Id="rId146" Target="https://doi.org/10.1046/j.1365-2427.2001.00758.x" TargetMode="External" /><Relationship Type="http://schemas.openxmlformats.org/officeDocument/2006/relationships/hyperlink" Id="rId85" Target="https://doi.org/10.1086/678701" TargetMode="External" /><Relationship Type="http://schemas.openxmlformats.org/officeDocument/2006/relationships/hyperlink" Id="rId108" Target="https://doi.org/10.1086/697996" TargetMode="External" /><Relationship Type="http://schemas.openxmlformats.org/officeDocument/2006/relationships/hyperlink" Id="rId106" Target="https://doi.org/10.1111/1752-1688.12372" TargetMode="External" /><Relationship Type="http://schemas.openxmlformats.org/officeDocument/2006/relationships/hyperlink" Id="rId142" Target="https://doi.org/10.1111/gec3.12039" TargetMode="External" /><Relationship Type="http://schemas.openxmlformats.org/officeDocument/2006/relationships/hyperlink" Id="rId130" Target="https://doi.org/10.1111/j.1365-2427.1987.tb01027.x" TargetMode="External" /><Relationship Type="http://schemas.openxmlformats.org/officeDocument/2006/relationships/hyperlink" Id="rId91" Target="https://doi.org/10.1111/j.1365-2427.2011.02696.x" TargetMode="External" /><Relationship Type="http://schemas.openxmlformats.org/officeDocument/2006/relationships/hyperlink" Id="rId151" Target="https://doi.org/10.1111/j.1365-2664.2008.01548.x" TargetMode="External" /><Relationship Type="http://schemas.openxmlformats.org/officeDocument/2006/relationships/hyperlink" Id="rId79" Target="https://doi.org/10.1111/j.1526-100X.2007.00285.x" TargetMode="External" /><Relationship Type="http://schemas.openxmlformats.org/officeDocument/2006/relationships/hyperlink" Id="rId97" Target="https://doi.org/10.1111/j.1752-1688.2000.tb05717.x" TargetMode="External" /><Relationship Type="http://schemas.openxmlformats.org/officeDocument/2006/relationships/hyperlink" Id="rId135" Target="https://doi.org/10.1111/j.1752-1688.2008.00280.x" TargetMode="External" /><Relationship Type="http://schemas.openxmlformats.org/officeDocument/2006/relationships/hyperlink" Id="rId113" Target="https://doi.org/10.1111/j.1752-1688.2011.00635.x" TargetMode="External" /><Relationship Type="http://schemas.openxmlformats.org/officeDocument/2006/relationships/hyperlink" Id="rId158" Target="https://doi.org/10.1111/jawr.12032" TargetMode="External" /><Relationship Type="http://schemas.openxmlformats.org/officeDocument/2006/relationships/hyperlink" Id="rId148" Target="https://doi.org/10.1111/jawr.12035" TargetMode="External" /><Relationship Type="http://schemas.openxmlformats.org/officeDocument/2006/relationships/hyperlink" Id="rId62" Target="https://doi.org/10.1146/annurev.ecolsys.35.120202.110122" TargetMode="External" /><Relationship Type="http://schemas.openxmlformats.org/officeDocument/2006/relationships/hyperlink" Id="rId160" Target="https://doi.org/10.1371/journal.pone.0090944" TargetMode="External" /><Relationship Type="http://schemas.openxmlformats.org/officeDocument/2006/relationships/hyperlink" Id="rId110" Target="https://doi.org/10.1371/journal.pone.0130710" TargetMode="External" /><Relationship Type="http://schemas.openxmlformats.org/officeDocument/2006/relationships/hyperlink" Id="rId164"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39" Target="https://doi.org/10.1890/11-0077.1" TargetMode="External" /><Relationship Type="http://schemas.openxmlformats.org/officeDocument/2006/relationships/hyperlink" Id="rId162" Target="https://doi.org/10.1899/04-028.1" TargetMode="External" /><Relationship Type="http://schemas.openxmlformats.org/officeDocument/2006/relationships/hyperlink" Id="rId77" Target="https://doi.org/10.1899/06-078.1" TargetMode="External" /><Relationship Type="http://schemas.openxmlformats.org/officeDocument/2006/relationships/hyperlink" Id="rId89" Target="https://doi.org/10.1899/0887-3593(2004)023%3C0599:BWRSUO%3E2.0.CO;2" TargetMode="External" /><Relationship Type="http://schemas.openxmlformats.org/officeDocument/2006/relationships/hyperlink" Id="rId119"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2018-07-24T19:38:31Z</dcterms:created>
  <dcterms:modified xsi:type="dcterms:W3CDTF">2018-07-24T19:38:31Z</dcterms:modified>
</cp:coreProperties>
</file>